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E0E" w:rsidRDefault="00377E0E" w:rsidP="00180BFF">
      <w:pPr>
        <w:spacing w:after="0" w:line="360" w:lineRule="auto"/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>Modello ALL. A1</w:t>
      </w:r>
    </w:p>
    <w:bookmarkEnd w:id="0"/>
    <w:p w:rsidR="00377E0E" w:rsidRPr="00037DD0" w:rsidRDefault="00377E0E" w:rsidP="00377E0E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9844F4">
        <w:rPr>
          <w:b/>
          <w:sz w:val="24"/>
          <w:szCs w:val="24"/>
        </w:rPr>
        <w:t>85613780A1</w:t>
      </w:r>
      <w:r w:rsidRPr="00037DD0">
        <w:rPr>
          <w:rFonts w:ascii="Calibri" w:eastAsia="Calibri" w:hAnsi="Calibri" w:cs="Calibri"/>
          <w:b/>
          <w:sz w:val="24"/>
        </w:rPr>
        <w:t xml:space="preserve">– Importo </w:t>
      </w:r>
      <w:r>
        <w:rPr>
          <w:rFonts w:ascii="Calibri" w:eastAsia="Calibri" w:hAnsi="Calibri" w:cs="Calibri"/>
          <w:b/>
          <w:sz w:val="24"/>
        </w:rPr>
        <w:t xml:space="preserve">a base d’asta </w:t>
      </w:r>
      <w:r w:rsidRPr="00037DD0">
        <w:rPr>
          <w:rFonts w:ascii="Calibri" w:hAnsi="Calibri" w:cs="Calibri"/>
          <w:b/>
          <w:bCs/>
          <w:sz w:val="24"/>
        </w:rPr>
        <w:t xml:space="preserve">€ </w:t>
      </w:r>
      <w:r>
        <w:rPr>
          <w:rFonts w:ascii="Calibri" w:hAnsi="Calibri" w:cs="Calibri"/>
          <w:b/>
          <w:bCs/>
          <w:sz w:val="24"/>
        </w:rPr>
        <w:t>8</w:t>
      </w:r>
      <w:r w:rsidR="00852B81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>
        <w:rPr>
          <w:rFonts w:ascii="Calibri" w:hAnsi="Calibri" w:cs="Calibri"/>
          <w:b/>
          <w:bCs/>
          <w:sz w:val="24"/>
        </w:rPr>
        <w:t>.000,00</w:t>
      </w:r>
      <w:r w:rsidRPr="00037DD0">
        <w:rPr>
          <w:b/>
          <w:sz w:val="24"/>
        </w:rPr>
        <w:t xml:space="preserve"> </w:t>
      </w:r>
      <w:r w:rsidRPr="00037DD0">
        <w:rPr>
          <w:rFonts w:ascii="Calibri" w:eastAsia="Calibri" w:hAnsi="Calibri" w:cs="Calibri"/>
          <w:b/>
          <w:sz w:val="24"/>
        </w:rPr>
        <w:t>oltre IVA – RUP Ing. Alessandra Salvato</w:t>
      </w:r>
    </w:p>
    <w:p w:rsidR="00C35830" w:rsidRPr="00C35830" w:rsidRDefault="00C35830" w:rsidP="00C358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Cs w:val="24"/>
          <w:lang w:eastAsia="it-IT"/>
        </w:rPr>
      </w:pP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OFFERTA TECNICA – ALLEGATO A</w:t>
      </w:r>
      <w:r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1</w:t>
      </w: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 – </w:t>
      </w:r>
      <w:r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LISTA PRODOTTI </w:t>
      </w:r>
      <w:r w:rsidRPr="00180BFF">
        <w:rPr>
          <w:rFonts w:ascii="Calibri" w:eastAsia="Times New Roman" w:hAnsi="Calibri" w:cs="Times New Roman"/>
          <w:b/>
          <w:color w:val="000000"/>
          <w:lang w:eastAsia="it-IT"/>
        </w:rPr>
        <w:t>DETERGENTI</w:t>
      </w:r>
      <w:r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 MULTIUSO </w:t>
      </w:r>
      <w:r w:rsidR="004C784D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CERTIFICATI </w:t>
      </w:r>
      <w:r w:rsidR="00BB3459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CONFORMI AI </w:t>
      </w:r>
      <w:r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CAM</w:t>
      </w:r>
    </w:p>
    <w:p w:rsidR="00507717" w:rsidRPr="00DB562C" w:rsidRDefault="008257B3" w:rsidP="00F11FFB">
      <w:pPr>
        <w:jc w:val="both"/>
        <w:rPr>
          <w:rFonts w:cstheme="minorHAnsi"/>
        </w:rPr>
      </w:pPr>
      <w:r w:rsidRPr="00DB562C">
        <w:rPr>
          <w:rFonts w:cstheme="minorHAnsi"/>
        </w:rPr>
        <w:t>LISTA COMPLETA DE</w:t>
      </w:r>
      <w:r w:rsidR="00507717" w:rsidRPr="00DB562C">
        <w:rPr>
          <w:rFonts w:cstheme="minorHAnsi"/>
        </w:rPr>
        <w:t xml:space="preserve">I PRODOTTI </w:t>
      </w:r>
      <w:r w:rsidR="00F7110F" w:rsidRPr="00DB562C">
        <w:rPr>
          <w:rFonts w:cstheme="minorHAnsi"/>
        </w:rPr>
        <w:t xml:space="preserve">DETERGENTI MULTIUSO, </w:t>
      </w:r>
      <w:r w:rsidR="00326325" w:rsidRPr="00DB562C">
        <w:rPr>
          <w:rFonts w:cstheme="minorHAnsi"/>
        </w:rPr>
        <w:t>DESTINATI ALLA PULIZIA DI AMBIENTI INTERNI, DETERGENTI PER FINESTRE E DETERGENTI PER SERVIZI SANITARI</w:t>
      </w:r>
    </w:p>
    <w:p w:rsidR="00F11FFB" w:rsidRPr="00180BFF" w:rsidRDefault="008257B3" w:rsidP="008257B3">
      <w:pPr>
        <w:spacing w:after="0"/>
        <w:jc w:val="both"/>
        <w:rPr>
          <w:rFonts w:cstheme="minorHAnsi"/>
        </w:rPr>
      </w:pPr>
      <w:r w:rsidRPr="00180BFF">
        <w:rPr>
          <w:rFonts w:cstheme="minorHAnsi"/>
        </w:rPr>
        <w:t xml:space="preserve">Il legale rappresentante della ditta offerente si impegna a fornire i seguenti prodotti </w:t>
      </w:r>
      <w:r w:rsidR="00F7110F" w:rsidRPr="00180BFF">
        <w:rPr>
          <w:rFonts w:cstheme="minorHAnsi"/>
        </w:rPr>
        <w:t>detergenti multiuso</w:t>
      </w:r>
      <w:r w:rsidR="00326325" w:rsidRPr="00180BFF">
        <w:rPr>
          <w:rFonts w:cstheme="minorHAnsi"/>
        </w:rPr>
        <w:t xml:space="preserve"> per le pulizie ordinarie, tutti conformi ai Criteri ambientali minimi individuati al c</w:t>
      </w:r>
      <w:r w:rsidR="00180BFF" w:rsidRPr="00180BFF">
        <w:rPr>
          <w:rFonts w:cstheme="minorHAnsi"/>
        </w:rPr>
        <w:t xml:space="preserve">apitolo 6, punto 6.1 Specifiche </w:t>
      </w:r>
      <w:r w:rsidR="00326325" w:rsidRPr="00180BFF">
        <w:rPr>
          <w:rFonts w:cstheme="minorHAnsi"/>
        </w:rPr>
        <w:t>tecniche dell’allegato al DM 24 maggio 2012 recante “Criteri ambientali minimi per l’affidamento del servizio di pulizia e per la fornitura di prodotti per l’igiene”</w:t>
      </w:r>
      <w:r w:rsidR="00F7110F" w:rsidRPr="00180BFF">
        <w:rPr>
          <w:rFonts w:cstheme="minorHAnsi"/>
        </w:rPr>
        <w:t>:</w:t>
      </w:r>
    </w:p>
    <w:p w:rsidR="008257B3" w:rsidRPr="00C35830" w:rsidRDefault="008257B3" w:rsidP="008257B3">
      <w:pPr>
        <w:spacing w:after="0"/>
        <w:jc w:val="both"/>
        <w:rPr>
          <w:rFonts w:cstheme="minorHAnsi"/>
          <w:b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1701"/>
        <w:gridCol w:w="1492"/>
      </w:tblGrid>
      <w:tr w:rsidR="002C6A64" w:rsidRPr="00C35830" w:rsidTr="00FB5073">
        <w:trPr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MARCA</w:t>
            </w: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DENOMINAZIONE COMMERCIALE</w:t>
            </w:r>
          </w:p>
        </w:tc>
        <w:tc>
          <w:tcPr>
            <w:tcW w:w="2126" w:type="dxa"/>
          </w:tcPr>
          <w:p w:rsidR="002C6A64" w:rsidRPr="00C35830" w:rsidRDefault="002C6A64" w:rsidP="00731595">
            <w:pPr>
              <w:rPr>
                <w:rFonts w:cstheme="minorHAnsi"/>
              </w:rPr>
            </w:pPr>
            <w:r w:rsidRPr="00C35830">
              <w:rPr>
                <w:rFonts w:cstheme="minorHAnsi"/>
              </w:rPr>
              <w:t>CATEGORIA (specificare funzione d’uso</w:t>
            </w:r>
            <w:r w:rsidR="00767DC9">
              <w:rPr>
                <w:rFonts w:cstheme="minorHAnsi"/>
              </w:rPr>
              <w:t>: pavimenti, finestre, sanitari, arredi, etc</w:t>
            </w:r>
            <w:r w:rsidRPr="00C35830">
              <w:rPr>
                <w:rFonts w:cstheme="minorHAnsi"/>
              </w:rPr>
              <w:t>)</w:t>
            </w: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PRODUTTORE</w:t>
            </w:r>
          </w:p>
        </w:tc>
        <w:tc>
          <w:tcPr>
            <w:tcW w:w="1492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ETICHETTA AMBIENTALE</w:t>
            </w:r>
          </w:p>
          <w:p w:rsidR="002C6A64" w:rsidRPr="00C35830" w:rsidRDefault="00F7110F" w:rsidP="00F7110F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Ecolabel</w:t>
            </w:r>
            <w:r w:rsidR="00FB5073">
              <w:rPr>
                <w:rStyle w:val="Rimandonotaapidipagina"/>
                <w:rFonts w:cstheme="minorHAnsi"/>
              </w:rPr>
              <w:footnoteReference w:id="1"/>
            </w:r>
            <w:r w:rsidR="00767DC9">
              <w:rPr>
                <w:rFonts w:cstheme="minorHAnsi"/>
              </w:rPr>
              <w:t xml:space="preserve"> (SI/NO)</w:t>
            </w: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FB5073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2C6A64" w:rsidRPr="00C35830" w:rsidRDefault="002C6A64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FB5073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2C6A64" w:rsidRPr="00C35830" w:rsidRDefault="002C6A64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FB5073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2C6A64" w:rsidRPr="00C35830" w:rsidRDefault="002C6A64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FB5073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748"/>
          <w:jc w:val="center"/>
        </w:trPr>
        <w:tc>
          <w:tcPr>
            <w:tcW w:w="9567" w:type="dxa"/>
            <w:gridSpan w:val="5"/>
          </w:tcPr>
          <w:p w:rsidR="00326325" w:rsidRPr="00C35830" w:rsidRDefault="00E015BB">
            <w:pPr>
              <w:rPr>
                <w:rFonts w:cstheme="minorHAnsi"/>
              </w:rPr>
            </w:pPr>
            <w:r>
              <w:rPr>
                <w:rStyle w:val="FontStyle73"/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243248B5" wp14:editId="381C05DF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8890</wp:posOffset>
                  </wp:positionV>
                  <wp:extent cx="638175" cy="447373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575" cy="454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325" w:rsidRPr="00C35830">
              <w:rPr>
                <w:rFonts w:cstheme="minorHAnsi"/>
              </w:rPr>
              <w:t>FIRMA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507717" w:rsidRPr="00C35830" w:rsidRDefault="00507717" w:rsidP="00377E0E">
      <w:pPr>
        <w:rPr>
          <w:rFonts w:cstheme="minorHAnsi"/>
        </w:rPr>
      </w:pPr>
    </w:p>
    <w:sectPr w:rsidR="00507717" w:rsidRPr="00C35830" w:rsidSect="00C652C5">
      <w:headerReference w:type="default" r:id="rId8"/>
      <w:pgSz w:w="11906" w:h="16838" w:code="9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B3B" w:rsidRDefault="00FF6B3B" w:rsidP="00C35830">
      <w:pPr>
        <w:spacing w:after="0" w:line="240" w:lineRule="auto"/>
      </w:pPr>
      <w:r>
        <w:separator/>
      </w:r>
    </w:p>
  </w:endnote>
  <w:endnote w:type="continuationSeparator" w:id="0">
    <w:p w:rsidR="00FF6B3B" w:rsidRDefault="00FF6B3B" w:rsidP="00C3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B3B" w:rsidRDefault="00FF6B3B" w:rsidP="00C35830">
      <w:pPr>
        <w:spacing w:after="0" w:line="240" w:lineRule="auto"/>
      </w:pPr>
      <w:r>
        <w:separator/>
      </w:r>
    </w:p>
  </w:footnote>
  <w:footnote w:type="continuationSeparator" w:id="0">
    <w:p w:rsidR="00FF6B3B" w:rsidRDefault="00FF6B3B" w:rsidP="00C35830">
      <w:pPr>
        <w:spacing w:after="0" w:line="240" w:lineRule="auto"/>
      </w:pPr>
      <w:r>
        <w:continuationSeparator/>
      </w:r>
    </w:p>
  </w:footnote>
  <w:footnote w:id="1">
    <w:p w:rsidR="00FB5073" w:rsidRDefault="00FB507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B5073">
        <w:rPr>
          <w:sz w:val="16"/>
          <w:szCs w:val="16"/>
        </w:rPr>
        <w:t xml:space="preserve">Per i prodotti non in possesso dell’Ecolabel Europeo, presunti </w:t>
      </w:r>
      <w:r>
        <w:rPr>
          <w:sz w:val="16"/>
          <w:szCs w:val="16"/>
        </w:rPr>
        <w:t xml:space="preserve">comunque </w:t>
      </w:r>
      <w:r w:rsidRPr="00FB5073">
        <w:rPr>
          <w:sz w:val="16"/>
          <w:szCs w:val="16"/>
        </w:rPr>
        <w:t>conformi</w:t>
      </w:r>
      <w:r>
        <w:rPr>
          <w:sz w:val="16"/>
          <w:szCs w:val="16"/>
        </w:rPr>
        <w:t xml:space="preserve"> ai CAM</w:t>
      </w:r>
      <w:r w:rsidRPr="00FB5073">
        <w:rPr>
          <w:sz w:val="16"/>
          <w:szCs w:val="16"/>
        </w:rPr>
        <w:t>, il legale rappresentante dell’impresa offerente, sulla base dei dati acquisiti dai produttori dei detergenti e/o riportati nelle etichette, nelle schede tecniche o di sicurezza dei prodotti, è tenuto a sottoscrivere la dichiarazione di cui all’ALLEGATO A1bis, con la quale attesta che i prodotti detergenti sono conformi ai criteri ambientali minimi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CEE" w:rsidRDefault="00E22CEE">
    <w:pPr>
      <w:pStyle w:val="Intestazione"/>
    </w:pPr>
    <w:r w:rsidRPr="00E22CEE">
      <w:rPr>
        <w:rFonts w:ascii="Calibri" w:eastAsia="Times New Roman" w:hAnsi="Calibri" w:cs="Times New Roman"/>
        <w:noProof/>
        <w:color w:val="000000"/>
        <w:szCs w:val="24"/>
        <w:lang w:eastAsia="it-IT"/>
      </w:rPr>
      <w:drawing>
        <wp:inline distT="0" distB="0" distL="0" distR="0" wp14:anchorId="375E7DA1" wp14:editId="3F064C06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2CEE" w:rsidRDefault="00E22C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17"/>
    <w:rsid w:val="00001357"/>
    <w:rsid w:val="00006CEC"/>
    <w:rsid w:val="00112B00"/>
    <w:rsid w:val="001133E6"/>
    <w:rsid w:val="00180BFF"/>
    <w:rsid w:val="001D3D43"/>
    <w:rsid w:val="0022057A"/>
    <w:rsid w:val="00261D99"/>
    <w:rsid w:val="00281238"/>
    <w:rsid w:val="002C6A64"/>
    <w:rsid w:val="00326325"/>
    <w:rsid w:val="00362318"/>
    <w:rsid w:val="003722A2"/>
    <w:rsid w:val="00377E0E"/>
    <w:rsid w:val="00394D20"/>
    <w:rsid w:val="004016FE"/>
    <w:rsid w:val="00437451"/>
    <w:rsid w:val="004B5FF3"/>
    <w:rsid w:val="004C2F6E"/>
    <w:rsid w:val="004C784D"/>
    <w:rsid w:val="004F2FDC"/>
    <w:rsid w:val="00507717"/>
    <w:rsid w:val="005A74F3"/>
    <w:rsid w:val="005B1BF9"/>
    <w:rsid w:val="00614C7E"/>
    <w:rsid w:val="007128D4"/>
    <w:rsid w:val="007269FA"/>
    <w:rsid w:val="00731595"/>
    <w:rsid w:val="00767DC9"/>
    <w:rsid w:val="007B7C73"/>
    <w:rsid w:val="00803915"/>
    <w:rsid w:val="008257B3"/>
    <w:rsid w:val="00852B81"/>
    <w:rsid w:val="00856E31"/>
    <w:rsid w:val="008854D6"/>
    <w:rsid w:val="009844F4"/>
    <w:rsid w:val="00A3190E"/>
    <w:rsid w:val="00B434E6"/>
    <w:rsid w:val="00B46747"/>
    <w:rsid w:val="00BB3459"/>
    <w:rsid w:val="00BB4D6C"/>
    <w:rsid w:val="00BC3B9E"/>
    <w:rsid w:val="00C35830"/>
    <w:rsid w:val="00C652C5"/>
    <w:rsid w:val="00CB6C7D"/>
    <w:rsid w:val="00CE4916"/>
    <w:rsid w:val="00DB562C"/>
    <w:rsid w:val="00DC5204"/>
    <w:rsid w:val="00DF0789"/>
    <w:rsid w:val="00E015BB"/>
    <w:rsid w:val="00E15FDD"/>
    <w:rsid w:val="00E22CEE"/>
    <w:rsid w:val="00E46583"/>
    <w:rsid w:val="00ED7795"/>
    <w:rsid w:val="00F11FFB"/>
    <w:rsid w:val="00F7110F"/>
    <w:rsid w:val="00F72EA0"/>
    <w:rsid w:val="00FB1B65"/>
    <w:rsid w:val="00FB5073"/>
    <w:rsid w:val="00FE3BAE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95AE"/>
  <w15:docId w15:val="{271C568A-931A-4927-BC9A-4F3C8666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830"/>
  </w:style>
  <w:style w:type="paragraph" w:styleId="Pidipagina">
    <w:name w:val="footer"/>
    <w:basedOn w:val="Normale"/>
    <w:link w:val="Pidipagina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8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83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50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507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5073"/>
    <w:rPr>
      <w:vertAlign w:val="superscript"/>
    </w:rPr>
  </w:style>
  <w:style w:type="character" w:customStyle="1" w:styleId="FontStyle73">
    <w:name w:val="Font Style73"/>
    <w:basedOn w:val="Carpredefinitoparagrafo"/>
    <w:uiPriority w:val="99"/>
    <w:rsid w:val="00E015B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DDF-CA27-43E2-A5A0-722F2ED1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Salvato</dc:creator>
  <cp:keywords/>
  <dc:description/>
  <cp:lastModifiedBy>Antonella Pillitu</cp:lastModifiedBy>
  <cp:revision>8</cp:revision>
  <cp:lastPrinted>2020-12-15T08:39:00Z</cp:lastPrinted>
  <dcterms:created xsi:type="dcterms:W3CDTF">2020-04-10T10:17:00Z</dcterms:created>
  <dcterms:modified xsi:type="dcterms:W3CDTF">2021-01-04T09:43:00Z</dcterms:modified>
</cp:coreProperties>
</file>